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1C1F" w:rsidRDefault="00441C1F">
      <w:pPr>
        <w:rPr>
          <w:vanish/>
        </w:rPr>
      </w:pP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9003"/>
      </w:tblGrid>
      <w:tr w:rsidR="00441C1F">
        <w:trPr>
          <w:cantSplit/>
          <w:trHeight w:val="142"/>
          <w:jc w:val="center"/>
        </w:trPr>
        <w:tc>
          <w:tcPr>
            <w:tcW w:w="9003" w:type="dxa"/>
            <w:vAlign w:val="center"/>
          </w:tcPr>
          <w:tbl>
            <w:tblPr>
              <w:tblW w:w="10064" w:type="dxa"/>
              <w:tblInd w:w="534" w:type="dxa"/>
              <w:tblLook w:val="04A0" w:firstRow="1" w:lastRow="0" w:firstColumn="1" w:lastColumn="0" w:noHBand="0" w:noVBand="1"/>
            </w:tblPr>
            <w:tblGrid>
              <w:gridCol w:w="5528"/>
              <w:gridCol w:w="4536"/>
            </w:tblGrid>
            <w:tr w:rsidR="00000000" w:rsidRPr="00954698">
              <w:tc>
                <w:tcPr>
                  <w:tcW w:w="5528" w:type="dxa"/>
                  <w:shd w:val="clear" w:color="auto" w:fill="auto"/>
                </w:tcPr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ООО «</w:t>
                  </w:r>
                  <w:proofErr w:type="spellStart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Мосгеопро</w:t>
                  </w:r>
                  <w:proofErr w:type="spellEnd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___________________ Е.А. Бабкин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м.п</w:t>
                  </w:r>
                  <w:proofErr w:type="spellEnd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954698">
                    <w:rPr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 xml:space="preserve">«__» ____________ {{ГОД}} г. 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{{ЗАКАЗЧИК_ДОЛЖНОСТЬ}}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{{ЗАКАЗЧИК}}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 {{ЗАКАЗЧИК_ПОДПИСАНТ}}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м.п</w:t>
                  </w:r>
                  <w:proofErr w:type="spellEnd"/>
                  <w:r w:rsidRPr="009546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954698">
                    <w:rPr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 xml:space="preserve">«__» ____________ {{ГОД}} г. </w:t>
                  </w: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N w:val="0"/>
                    <w:adjustRightInd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54698" w:rsidRPr="00954698" w:rsidRDefault="00954698">
                  <w:pPr>
                    <w:widowControl/>
                    <w:autoSpaceDE/>
                    <w:ind w:right="855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1C1F" w:rsidRDefault="00441C1F" w:rsidP="00954698">
            <w:pPr>
              <w:autoSpaceDE/>
              <w:snapToGrid w:val="0"/>
              <w:ind w:lef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41C1F" w:rsidRDefault="00441C1F">
      <w:pPr>
        <w:autoSpaceDE/>
        <w:ind w:left="11" w:right="1360"/>
        <w:jc w:val="both"/>
        <w:rPr>
          <w:rFonts w:ascii="Arial" w:hAnsi="Arial" w:cs="Arial"/>
          <w:spacing w:val="20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10140"/>
      </w:tblGrid>
      <w:tr w:rsidR="00441C1F" w:rsidTr="00954698">
        <w:trPr>
          <w:cantSplit/>
          <w:trHeight w:val="357"/>
          <w:jc w:val="center"/>
        </w:trPr>
        <w:tc>
          <w:tcPr>
            <w:tcW w:w="10140" w:type="dxa"/>
            <w:vAlign w:val="center"/>
          </w:tcPr>
          <w:p w:rsidR="00441C1F" w:rsidRDefault="00954698">
            <w:pPr>
              <w:autoSpaceDE/>
              <w:ind w:left="11" w:right="1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Задание на выполнение инженерно-гидрометеорологических изысканий на объекте:</w:t>
            </w:r>
          </w:p>
          <w:p w:rsidR="00441C1F" w:rsidRDefault="00000000">
            <w:pPr>
              <w:autoSpaceDE/>
              <w:ind w:left="11" w:right="11"/>
              <w:jc w:val="center"/>
              <w:rPr>
                <w:rFonts w:ascii="Arial" w:hAnsi="Arial" w:cs="Arial"/>
                <w:spacing w:val="20"/>
              </w:rPr>
            </w:pPr>
            <w:r>
              <w:rPr>
                <w:b/>
                <w:sz w:val="28"/>
                <w:szCs w:val="28"/>
              </w:rPr>
              <w:t xml:space="preserve">{{ОБЪЕКТ}} </w:t>
            </w:r>
          </w:p>
        </w:tc>
      </w:tr>
    </w:tbl>
    <w:p w:rsidR="00441C1F" w:rsidRDefault="00441C1F">
      <w:pPr>
        <w:autoSpaceDE/>
        <w:ind w:left="11" w:right="1360"/>
        <w:jc w:val="both"/>
        <w:rPr>
          <w:rFonts w:ascii="Arial" w:hAnsi="Arial" w:cs="Arial"/>
          <w:spacing w:val="20"/>
        </w:rPr>
      </w:pPr>
    </w:p>
    <w:p w:rsidR="00441C1F" w:rsidRDefault="00441C1F">
      <w:pPr>
        <w:autoSpaceDE/>
        <w:ind w:left="11" w:right="1360"/>
        <w:jc w:val="both"/>
        <w:rPr>
          <w:rFonts w:ascii="Arial" w:hAnsi="Arial" w:cs="Arial"/>
          <w:spacing w:val="20"/>
          <w:sz w:val="16"/>
          <w:szCs w:val="16"/>
        </w:rPr>
      </w:pPr>
    </w:p>
    <w:tbl>
      <w:tblPr>
        <w:tblW w:w="7975" w:type="dxa"/>
        <w:jc w:val="center"/>
        <w:tblLayout w:type="fixed"/>
        <w:tblLook w:val="04A0" w:firstRow="1" w:lastRow="0" w:firstColumn="1" w:lastColumn="0" w:noHBand="0" w:noVBand="1"/>
      </w:tblPr>
      <w:tblGrid>
        <w:gridCol w:w="7975"/>
      </w:tblGrid>
      <w:tr w:rsidR="00441C1F">
        <w:trPr>
          <w:cantSplit/>
          <w:trHeight w:val="853"/>
          <w:jc w:val="center"/>
        </w:trPr>
        <w:tc>
          <w:tcPr>
            <w:tcW w:w="7975" w:type="dxa"/>
            <w:vAlign w:val="center"/>
          </w:tcPr>
          <w:p w:rsidR="00441C1F" w:rsidRDefault="00441C1F">
            <w:pPr>
              <w:autoSpaceDE/>
              <w:snapToGrid w:val="0"/>
              <w:ind w:left="11" w:right="11" w:hanging="22"/>
              <w:jc w:val="center"/>
              <w:rPr>
                <w:rFonts w:ascii="Arial" w:hAnsi="Arial" w:cs="Arial"/>
                <w:b/>
              </w:rPr>
            </w:pPr>
          </w:p>
          <w:p w:rsidR="00441C1F" w:rsidRDefault="00441C1F">
            <w:pPr>
              <w:autoSpaceDE/>
              <w:ind w:left="11" w:right="1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41C1F" w:rsidRDefault="00441C1F">
      <w:pPr>
        <w:autoSpaceDE/>
        <w:ind w:left="11" w:right="1360"/>
        <w:jc w:val="both"/>
        <w:rPr>
          <w:rFonts w:ascii="Arial" w:hAnsi="Arial" w:cs="Arial"/>
          <w:spacing w:val="20"/>
        </w:rPr>
      </w:pPr>
    </w:p>
    <w:tbl>
      <w:tblPr>
        <w:tblW w:w="793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441C1F">
        <w:tc>
          <w:tcPr>
            <w:tcW w:w="7938" w:type="dxa"/>
          </w:tcPr>
          <w:p w:rsidR="00441C1F" w:rsidRDefault="00441C1F">
            <w:pPr>
              <w:autoSpaceDE/>
              <w:snapToGrid w:val="0"/>
              <w:ind w:left="11" w:right="11"/>
              <w:jc w:val="both"/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left="11"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441C1F" w:rsidRDefault="00441C1F">
      <w:pPr>
        <w:autoSpaceDE/>
        <w:ind w:right="11"/>
        <w:jc w:val="both"/>
        <w:rPr>
          <w:rFonts w:ascii="Arial" w:hAnsi="Arial" w:cs="Arial"/>
        </w:rPr>
      </w:pPr>
    </w:p>
    <w:p w:rsidR="00954698" w:rsidRDefault="00954698">
      <w:pPr>
        <w:autoSpaceDE/>
        <w:ind w:right="11"/>
        <w:jc w:val="both"/>
        <w:rPr>
          <w:rFonts w:ascii="Arial" w:hAnsi="Arial" w:cs="Arial"/>
        </w:rPr>
      </w:pPr>
    </w:p>
    <w:tbl>
      <w:tblPr>
        <w:tblpPr w:rightFromText="180" w:vertAnchor="page" w:horzAnchor="margin" w:tblpY="51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441C1F">
        <w:trPr>
          <w:trHeight w:val="843"/>
        </w:trPr>
        <w:tc>
          <w:tcPr>
            <w:tcW w:w="10031" w:type="dxa"/>
          </w:tcPr>
          <w:tbl>
            <w:tblPr>
              <w:tblW w:w="9037" w:type="dxa"/>
              <w:tblInd w:w="783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712"/>
              <w:gridCol w:w="3191"/>
            </w:tblGrid>
            <w:tr w:rsidR="00441C1F">
              <w:tc>
                <w:tcPr>
                  <w:tcW w:w="1134" w:type="dxa"/>
                </w:tcPr>
                <w:p w:rsidR="00441C1F" w:rsidRDefault="00441C1F">
                  <w:pPr>
                    <w:framePr w:wrap="around" w:vAnchor="page" w:hAnchor="margin" w:y="517"/>
                    <w:autoSpaceDE/>
                    <w:snapToGrid w:val="0"/>
                    <w:ind w:left="11" w:right="11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4712" w:type="dxa"/>
                </w:tcPr>
                <w:p w:rsidR="00441C1F" w:rsidRDefault="00441C1F">
                  <w:pPr>
                    <w:framePr w:wrap="around" w:vAnchor="page" w:hAnchor="margin" w:y="517"/>
                    <w:autoSpaceDE/>
                    <w:snapToGrid w:val="0"/>
                    <w:ind w:left="-77" w:right="-101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191" w:type="dxa"/>
                </w:tcPr>
                <w:p w:rsidR="00441C1F" w:rsidRDefault="00441C1F">
                  <w:pPr>
                    <w:framePr w:wrap="around" w:vAnchor="page" w:hAnchor="margin" w:y="517"/>
                    <w:autoSpaceDE/>
                    <w:snapToGrid w:val="0"/>
                    <w:ind w:left="11" w:right="11"/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441C1F" w:rsidRDefault="00441C1F">
            <w:pPr>
              <w:autoSpaceDE/>
              <w:ind w:left="-57" w:right="-57"/>
              <w:jc w:val="both"/>
              <w:rPr>
                <w:rFonts w:ascii="Arial" w:hAnsi="Arial" w:cs="Arial"/>
                <w:spacing w:val="20"/>
                <w:sz w:val="12"/>
                <w:szCs w:val="12"/>
              </w:rPr>
            </w:pPr>
          </w:p>
        </w:tc>
      </w:tr>
    </w:tbl>
    <w:p w:rsidR="00441C1F" w:rsidRDefault="00000000">
      <w:pPr>
        <w:autoSpaceDE/>
        <w:ind w:left="11" w:right="11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Москва</w:t>
      </w:r>
      <w:r>
        <w:rPr>
          <w:b/>
          <w:color w:val="000000"/>
          <w:sz w:val="24"/>
          <w:szCs w:val="24"/>
        </w:rPr>
        <w:br/>
        <w:t>{{ГОД}}</w:t>
      </w:r>
    </w:p>
    <w:p w:rsidR="00441C1F" w:rsidRDefault="00000000">
      <w:pPr>
        <w:widowControl/>
        <w:ind w:left="567" w:right="2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441C1F" w:rsidRDefault="00000000">
      <w:pPr>
        <w:widowControl/>
        <w:ind w:left="567" w:right="2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 выполнение инженерно-гидрометеорологических изысканий для строительства объекта: {{ОБЪЕКТ}}</w:t>
      </w:r>
    </w:p>
    <w:p w:rsidR="00441C1F" w:rsidRDefault="00441C1F">
      <w:pPr>
        <w:suppressAutoHyphens/>
        <w:snapToGrid w:val="0"/>
        <w:ind w:left="34" w:right="-99"/>
        <w:jc w:val="center"/>
        <w:rPr>
          <w:b/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6379"/>
      </w:tblGrid>
      <w:tr w:rsidR="00441C1F">
        <w:trPr>
          <w:trHeight w:val="242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Содержание основных данных и требований</w:t>
            </w:r>
          </w:p>
        </w:tc>
      </w:tr>
      <w:tr w:rsidR="00441C1F">
        <w:trPr>
          <w:trHeight w:val="2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{{ОБЪЕКТ}}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{{ЗАПОЛНИТЬ — ниже пример эталона: Российская Федерация, г. Москва, микрорайон Некрасовка, индустриальный парк «Руднево», участок, ограниченный внешними границами земельного участка с кадастровым номером 77:03:0000000:4490 и границей земельного участка с кадастровым номером: 77:03:0000000:4494.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{{ЗАПОЛНИТЬ — ниже пример эталона: Договор № 03/2025 от 27.01.2025 г.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Вид градостроительной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{{ЗАПОЛНИТЬ — ниже пример эталона: Новое строительство.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Идентификационные сведения о заказчике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ind w:firstLine="284"/>
            </w:pPr>
            <w:r>
              <w:rPr>
                <w:sz w:val="24"/>
                <w:szCs w:val="24"/>
              </w:rPr>
              <w:t>{{ЗАПОЛНИТЬ — ниже пример эталона: {{ЗАКАЗЧИК}}</w:t>
            </w:r>
          </w:p>
          <w:p w:rsidR="00441C1F" w:rsidRDefault="00000000">
            <w:pPr>
              <w:widowControl/>
              <w:autoSpaceDE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107045, г. Москва, </w:t>
            </w:r>
            <w:proofErr w:type="spellStart"/>
            <w:r>
              <w:rPr>
                <w:sz w:val="24"/>
                <w:szCs w:val="24"/>
              </w:rPr>
              <w:t>вн.тер.г</w:t>
            </w:r>
            <w:proofErr w:type="spellEnd"/>
            <w:r>
              <w:rPr>
                <w:sz w:val="24"/>
                <w:szCs w:val="24"/>
              </w:rPr>
              <w:t xml:space="preserve">. муниципальный округ Мещанский пер Пушкарёв, д. 20/17,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>. 1/п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Идентификационные сведения об исполнителе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ind w:firstLine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Мосгеопро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441C1F" w:rsidRDefault="00954698">
            <w:pPr>
              <w:ind w:firstLine="284"/>
              <w:rPr>
                <w:sz w:val="24"/>
                <w:szCs w:val="24"/>
              </w:rPr>
            </w:pPr>
            <w:r w:rsidRPr="00595A92">
              <w:rPr>
                <w:bCs/>
                <w:sz w:val="24"/>
                <w:szCs w:val="24"/>
              </w:rPr>
              <w:t xml:space="preserve">115432 Россия, г. Москва, проспект Андропова </w:t>
            </w:r>
            <w:r>
              <w:rPr>
                <w:bCs/>
                <w:sz w:val="24"/>
                <w:szCs w:val="24"/>
              </w:rPr>
              <w:t>18к1</w:t>
            </w:r>
            <w:r w:rsidRPr="00595A9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помещ</w:t>
            </w:r>
            <w:proofErr w:type="spellEnd"/>
            <w:r>
              <w:rPr>
                <w:bCs/>
                <w:sz w:val="24"/>
                <w:szCs w:val="24"/>
              </w:rPr>
              <w:t>. 21/6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Цели и задачи инженерных изысканий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</w:pPr>
            <w:r>
              <w:rPr>
                <w:sz w:val="24"/>
                <w:szCs w:val="24"/>
              </w:rPr>
              <w:t>Цель инженерно-гидрометеорологических изысканий - комплексное изучение гидрометеорологических условий в районе расположения объекта, с целью получения необходимых и достаточных сведений для принятия обоснованных проектных решений.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Задачей инженерно-гидрометеорологических изысканий является оценка влияния установленных опасных природных процессов и явлений на проектируемые сооружения, предоставление климатической характеристики района работ, общей гидрологической характеристики с оценкой возможного негативного воздействия на участок строительства со стороны пересекаемых и ближайших водотоков, в период прохождения максимального стока (установление возможного затопления).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выполнения инженерных изысканий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 в один этап.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Вид инженерных изысканий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Инженерно-гидрометеорологические.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Идентификационные</w:t>
            </w:r>
          </w:p>
          <w:p w:rsidR="00441C1F" w:rsidRDefault="00000000">
            <w:r>
              <w:rPr>
                <w:sz w:val="24"/>
                <w:szCs w:val="24"/>
              </w:rPr>
              <w:t>сведения об объекте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ind w:firstLine="284"/>
              <w:rPr>
                <w:rFonts w:eastAsia="MS Mincho;MS Gothic"/>
                <w:bCs/>
                <w:sz w:val="24"/>
                <w:szCs w:val="24"/>
              </w:rPr>
            </w:pPr>
            <w:r>
              <w:rPr>
                <w:rFonts w:eastAsia="MS Mincho;MS Gothic"/>
                <w:bCs/>
                <w:sz w:val="24"/>
                <w:szCs w:val="24"/>
              </w:rPr>
              <w:t>{{ЗАПОЛНИТЬ — ниже пример эталона: а) назначение: Комплекс разработки, производства и тестирования автомобильных систем;</w:t>
            </w:r>
          </w:p>
          <w:p w:rsidR="00441C1F" w:rsidRDefault="00000000">
            <w:pPr>
              <w:widowControl/>
              <w:autoSpaceDE/>
              <w:ind w:firstLine="284"/>
            </w:pPr>
            <w:r>
              <w:rPr>
                <w:rFonts w:eastAsia="MS Mincho;MS Gothic"/>
                <w:bCs/>
                <w:sz w:val="24"/>
                <w:szCs w:val="24"/>
              </w:rPr>
              <w:t xml:space="preserve">б) </w:t>
            </w:r>
            <w:bookmarkStart w:id="0" w:name="_Hlk213687237"/>
            <w:r>
              <w:rPr>
                <w:rFonts w:eastAsia="MS Mincho;MS Gothic"/>
                <w:bCs/>
                <w:sz w:val="24"/>
                <w:szCs w:val="24"/>
              </w:rPr>
              <w:t>к объектам транспортной инфраструктуры не относится</w:t>
            </w:r>
            <w:bookmarkEnd w:id="0"/>
            <w:r>
              <w:rPr>
                <w:rFonts w:eastAsia="MS Mincho;MS Gothic"/>
                <w:bCs/>
                <w:sz w:val="24"/>
                <w:szCs w:val="24"/>
              </w:rPr>
              <w:t>;</w:t>
            </w:r>
          </w:p>
          <w:p w:rsidR="00441C1F" w:rsidRDefault="00000000">
            <w:pPr>
              <w:widowControl/>
              <w:autoSpaceDE/>
              <w:ind w:firstLine="284"/>
            </w:pPr>
            <w:r>
              <w:rPr>
                <w:rFonts w:eastAsia="MS Mincho;MS Gothic"/>
                <w:bCs/>
                <w:sz w:val="24"/>
                <w:szCs w:val="24"/>
              </w:rPr>
              <w:t>в) к опасным объектам — не относится;</w:t>
            </w:r>
          </w:p>
          <w:p w:rsidR="00441C1F" w:rsidRDefault="00000000">
            <w:pPr>
              <w:widowControl/>
              <w:autoSpaceDE/>
              <w:ind w:firstLine="284"/>
              <w:rPr>
                <w:rFonts w:eastAsia="MS Mincho;MS Gothic"/>
                <w:bCs/>
                <w:sz w:val="24"/>
                <w:szCs w:val="24"/>
              </w:rPr>
            </w:pPr>
            <w:r>
              <w:rPr>
                <w:rFonts w:eastAsia="MS Mincho;MS Gothic"/>
                <w:bCs/>
                <w:sz w:val="24"/>
                <w:szCs w:val="24"/>
              </w:rPr>
              <w:t xml:space="preserve">г) </w:t>
            </w:r>
            <w:bookmarkStart w:id="1" w:name="_Hlk213687252"/>
            <w:r>
              <w:rPr>
                <w:rFonts w:eastAsia="MS Mincho;MS Gothic"/>
                <w:bCs/>
                <w:sz w:val="24"/>
                <w:szCs w:val="24"/>
              </w:rPr>
              <w:t>пожарная, взрывоопасная опасность — в соответствии с Федеральным законом № 123-ФЗ «Технический регламент о требованиях пожарной безопасности» от 22.07.2008 (с изменениями от 25.12.2023 г.);</w:t>
            </w:r>
            <w:bookmarkEnd w:id="1"/>
          </w:p>
          <w:p w:rsidR="00441C1F" w:rsidRDefault="00000000">
            <w:pPr>
              <w:widowControl/>
              <w:autoSpaceDE/>
              <w:ind w:firstLine="284"/>
              <w:rPr>
                <w:sz w:val="24"/>
                <w:szCs w:val="24"/>
              </w:rPr>
            </w:pPr>
            <w:r>
              <w:rPr>
                <w:rFonts w:eastAsia="MS Mincho;MS Gothic"/>
                <w:bCs/>
                <w:sz w:val="24"/>
                <w:szCs w:val="24"/>
              </w:rPr>
              <w:t xml:space="preserve">д) уровень ответственности — </w:t>
            </w:r>
            <w:r>
              <w:rPr>
                <w:rFonts w:eastAsia="MS Mincho;MS Gothic"/>
                <w:bCs/>
                <w:sz w:val="24"/>
                <w:szCs w:val="24"/>
                <w:lang w:val="en-US"/>
              </w:rPr>
              <w:t>II</w:t>
            </w:r>
            <w:r>
              <w:rPr>
                <w:rFonts w:eastAsia="MS Mincho;MS Gothic"/>
                <w:bCs/>
                <w:sz w:val="24"/>
                <w:szCs w:val="24"/>
              </w:rPr>
              <w:t xml:space="preserve"> (нормальный).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техногенные воздействия объекта на окружающую среду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 в процессе выполнения изысканий.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границах площадки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{{ЗАПОЛНИТЬ — ниже пример эталона: По кадастровой карте (кадастровые номера участков </w:t>
            </w:r>
            <w:r>
              <w:rPr>
                <w:bCs/>
                <w:sz w:val="24"/>
                <w:szCs w:val="24"/>
                <w:lang w:eastAsia="en-US"/>
              </w:rPr>
              <w:t>77:03:0000000:4490, 77:03:0000000:4494</w:t>
            </w:r>
            <w:r>
              <w:rPr>
                <w:sz w:val="24"/>
                <w:szCs w:val="24"/>
              </w:rPr>
              <w:t>)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r>
              <w:rPr>
                <w:sz w:val="24"/>
                <w:szCs w:val="24"/>
              </w:rPr>
              <w:t>Краткая техническая характеристика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{{ЗАПОЛНИТЬ — ниже пример эталона: 1. площадь проведения изысканий: 4,2 га;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площадь крытого картинга: 4200 м²;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площадь АБК: 1600 м²;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площадь производственного здания: 910 м²;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открытая трасса: 2,3га;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открытая парковка для автомобилей: 4265 м².</w:t>
            </w:r>
            <w:r>
              <w:t>}}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предполагаемых опасных природных процессов и явлений, многолетнемерзлых и специфических грунтов на территории расположения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 в процессе выполнения изысканий.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о подготовке предложений и рекомендаций для принятия решений по организации инженерной защиты территории, зданий и сооружений от опасных природных и техногенных процессов и устранению или ослаблению их влияния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 в процессе выполнения изысканий.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обеспечению контроля качества при выполнении инженерных изысканий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выполняемым работам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Инженерно-гидрометеорологические изыскания должны соответствовать по составу, объёму, методам и технологии производства изысканий Своду правил п инженерным изысканиям для строительства СП 47.13330.2016, СП 482.1325800.2020, СП 11-103-97.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производства работ Исполнитель разрабатывает и согласовывает с Заказчиком программу производства работ.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изысканий определить возможность подтопления земельного участка.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документация должна соответствовать и удовлетворять требованиям системы стандартов ЕСКД и ГОСТ, содержащую все изменения, внесенные при доработке или устранении замечаний, представленных </w:t>
            </w:r>
            <w:proofErr w:type="spellStart"/>
            <w:r>
              <w:rPr>
                <w:sz w:val="24"/>
                <w:szCs w:val="24"/>
              </w:rPr>
              <w:t>Мосгосэкспертизой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bookmarkStart w:id="2" w:name="_Hlk213680636"/>
            <w:r>
              <w:rPr>
                <w:sz w:val="24"/>
                <w:szCs w:val="24"/>
              </w:rPr>
              <w:t>Требования к составу, форме и формату предоставления результатов инженерных изысканий, порядку их передачи заказчику</w:t>
            </w:r>
            <w:bookmarkEnd w:id="2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widowControl/>
              <w:autoSpaceDE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результаты инженерных изысканий должны соответствовать требованиям СП 47.13330.2016, СП 131.13330.2020, СП 11-103-97, СП 482.1325800.2020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>По итогам работ Исполнитель предоставляет Заказчику технический отчёт по инженерно-гидрометеорологическим изысканиям, соответствующий по составу и объёму требованиям нормативных документов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 сроки, соответствующие календарному плану, приложенному к Договору.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>Электронную версию проектной документации для про</w:t>
            </w:r>
            <w:r>
              <w:rPr>
                <w:bCs/>
                <w:sz w:val="24"/>
                <w:szCs w:val="24"/>
              </w:rPr>
              <w:lastRenderedPageBreak/>
              <w:t>ведения государственной экспертизы передать Заказчику в установленном экспертизой виде.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>После получения положительного заключения московской государственной экспертизы подготовить и передать Заказчику: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>- в бумажном виде –сброшюрованный и завизированный в установленной форме 4 (четыре) экземпляра;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 xml:space="preserve">- в электронном виде на </w:t>
            </w:r>
            <w:r>
              <w:rPr>
                <w:bCs/>
                <w:sz w:val="24"/>
                <w:szCs w:val="24"/>
                <w:lang w:val="en-US"/>
              </w:rPr>
              <w:t>CD</w:t>
            </w:r>
            <w:r>
              <w:rPr>
                <w:bCs/>
                <w:sz w:val="24"/>
                <w:szCs w:val="24"/>
              </w:rPr>
              <w:t xml:space="preserve"> носителе в редактируемом формате (текстовая часть в формате </w:t>
            </w:r>
            <w:r>
              <w:rPr>
                <w:bCs/>
                <w:sz w:val="24"/>
                <w:szCs w:val="24"/>
                <w:lang w:val="en-US"/>
              </w:rPr>
              <w:t>word</w:t>
            </w:r>
            <w:r>
              <w:rPr>
                <w:bCs/>
                <w:sz w:val="24"/>
                <w:szCs w:val="24"/>
              </w:rPr>
              <w:t>, графическая часть (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autocad</w:t>
            </w:r>
            <w:proofErr w:type="spellEnd"/>
            <w:r>
              <w:rPr>
                <w:bCs/>
                <w:sz w:val="24"/>
                <w:szCs w:val="24"/>
              </w:rPr>
              <w:t xml:space="preserve">) в формате </w:t>
            </w:r>
            <w:r>
              <w:rPr>
                <w:bCs/>
                <w:sz w:val="24"/>
                <w:szCs w:val="24"/>
                <w:lang w:val="en-US"/>
              </w:rPr>
              <w:t>dwg</w:t>
            </w:r>
            <w:r>
              <w:rPr>
                <w:bCs/>
                <w:sz w:val="24"/>
                <w:szCs w:val="24"/>
              </w:rPr>
              <w:t>) - 2 (два комплекта);</w:t>
            </w:r>
          </w:p>
          <w:p w:rsidR="00441C1F" w:rsidRDefault="00000000">
            <w:pPr>
              <w:autoSpaceDE/>
              <w:ind w:left="11" w:right="11" w:firstLine="284"/>
            </w:pPr>
            <w:r>
              <w:rPr>
                <w:bCs/>
                <w:sz w:val="24"/>
                <w:szCs w:val="24"/>
              </w:rPr>
              <w:t xml:space="preserve">- в электронном виде на </w:t>
            </w:r>
            <w:r>
              <w:rPr>
                <w:bCs/>
                <w:sz w:val="24"/>
                <w:szCs w:val="24"/>
                <w:lang w:val="en-US"/>
              </w:rPr>
              <w:t>CD</w:t>
            </w:r>
            <w:r>
              <w:rPr>
                <w:bCs/>
                <w:sz w:val="24"/>
                <w:szCs w:val="24"/>
              </w:rPr>
              <w:t xml:space="preserve"> носителе в не редактируемом формате (</w:t>
            </w:r>
            <w:r>
              <w:rPr>
                <w:bCs/>
                <w:sz w:val="24"/>
                <w:szCs w:val="24"/>
                <w:lang w:val="en-US"/>
              </w:rPr>
              <w:t>pdf</w:t>
            </w:r>
            <w:r>
              <w:rPr>
                <w:bCs/>
                <w:sz w:val="24"/>
                <w:szCs w:val="24"/>
              </w:rPr>
              <w:t>) со всеми подписями и согласованиями – 2 (два) комплекта.</w:t>
            </w:r>
          </w:p>
          <w:p w:rsidR="00441C1F" w:rsidRDefault="00000000">
            <w:pPr>
              <w:ind w:firstLine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 и структура электронной версии отчёта должны быть идентичны печатной версии.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Передача технической документации осуществляется сопроводительными документами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передаваемых заказчиком во временное пользование исполнителю инженерных изысканий, результатов ранее выполненных инженерных изысканий и исследований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планировочной организации земельного участка в масштабе 1:500, выполненная на инженерно-топографическом плане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нормативных правовых актов, НТД, в соответствии с требованиями которых необходимо выполнять инженерные изыскания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47.13330.2016 Инженерные изыскания для строительства. Основные положения. Актуализированная редакция СНиП 11-02-96.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11-103-97 Инженерно-гидрометеорологические изыскания для строительства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482.1325800.2020 Инженерно-гидрометеорологические изыскания для строительства. Общие правила производства работ</w:t>
            </w:r>
          </w:p>
          <w:p w:rsidR="00441C1F" w:rsidRDefault="00000000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действующие нормативные документы РФ</w:t>
            </w:r>
          </w:p>
        </w:tc>
      </w:tr>
      <w:tr w:rsidR="00441C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441C1F">
            <w:pPr>
              <w:numPr>
                <w:ilvl w:val="0"/>
                <w:numId w:val="4"/>
              </w:numPr>
              <w:snapToGrid w:val="0"/>
              <w:ind w:left="357" w:hanging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tabs>
                <w:tab w:val="left" w:pos="284"/>
              </w:tabs>
              <w:ind w:righ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экспертиза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1F" w:rsidRDefault="00000000">
            <w:pPr>
              <w:ind w:firstLine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Результаты инженерно-гидрометеорологических изысканий подлежат прохождению государственной экспертизы. </w:t>
            </w:r>
          </w:p>
          <w:p w:rsidR="00441C1F" w:rsidRDefault="00000000">
            <w:pPr>
              <w:ind w:firstLine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Результаты инженерных изысканий могут подаваться на государственную экспертизу совместно с проектной документацией по объекту или самостоятельно.</w:t>
            </w:r>
          </w:p>
          <w:p w:rsidR="00441C1F" w:rsidRDefault="00000000">
            <w:pPr>
              <w:ind w:firstLine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обеспечивает сопровождение результатов инженерных изысканий в государственной экспертизе, а также гарантирует отработку замечаний до выхода положительного заключения по объекту.</w:t>
            </w:r>
          </w:p>
          <w:p w:rsidR="00441C1F" w:rsidRDefault="00000000">
            <w:pPr>
              <w:ind w:firstLine="2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случае получения отрицательного заключения государственной экспертизы по вине Исполнителя, Заказчик в праве потребовать корректировку по замечаниям, а также направление результатов инженерных изысканий на повторную экспертизу за счёт Исполнителя.</w:t>
            </w:r>
          </w:p>
        </w:tc>
      </w:tr>
    </w:tbl>
    <w:p w:rsidR="00225B3D" w:rsidRPr="00C72E40" w:rsidRDefault="00225B3D" w:rsidP="00225B3D">
      <w:pPr>
        <w:rPr>
          <w:sz w:val="24"/>
          <w:szCs w:val="24"/>
        </w:rPr>
      </w:pPr>
      <w:r w:rsidRPr="00C72E40">
        <w:rPr>
          <w:sz w:val="24"/>
          <w:szCs w:val="24"/>
        </w:rPr>
        <w:t>Приложение к Техническому заданию:</w:t>
      </w:r>
    </w:p>
    <w:p w:rsidR="00225B3D" w:rsidRPr="00C72E40" w:rsidRDefault="00225B3D" w:rsidP="00225B3D">
      <w:pPr>
        <w:rPr>
          <w:sz w:val="24"/>
          <w:szCs w:val="24"/>
        </w:rPr>
      </w:pPr>
      <w:r w:rsidRPr="00C72E40">
        <w:rPr>
          <w:sz w:val="24"/>
          <w:szCs w:val="24"/>
        </w:rPr>
        <w:t>Приложение №1 «Месторасположение участка изысканий».</w:t>
      </w:r>
    </w:p>
    <w:p w:rsidR="00225B3D" w:rsidRDefault="00225B3D" w:rsidP="00225B3D">
      <w:pPr>
        <w:widowControl/>
        <w:spacing w:line="144" w:lineRule="exact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25B3D" w:rsidRDefault="00225B3D" w:rsidP="00225B3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25B3D" w:rsidRDefault="00225B3D" w:rsidP="00225B3D">
      <w:pPr>
        <w:jc w:val="right"/>
        <w:rPr>
          <w:b/>
          <w:sz w:val="24"/>
          <w:szCs w:val="24"/>
        </w:rPr>
      </w:pPr>
    </w:p>
    <w:p w:rsidR="00225B3D" w:rsidRDefault="00225B3D" w:rsidP="00225B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участка изыскания </w:t>
      </w:r>
    </w:p>
    <w:p w:rsidR="00384E16" w:rsidRDefault="00000000">
      <w:r>
        <w:t>{{ЗАПОЛНИТЬ: вставить ситуационный план участка нового объекта (добавляет ГИП) или удалить приложение}}</w:t>
      </w:r>
    </w:p>
    <w:p w:rsidR="00225B3D" w:rsidRDefault="00225B3D" w:rsidP="00225B3D">
      <w:pPr>
        <w:jc w:val="center"/>
        <w:rPr>
          <w:b/>
          <w:sz w:val="24"/>
          <w:szCs w:val="24"/>
        </w:rPr>
      </w:pPr>
    </w:p>
    <w:p w:rsidR="00441C1F" w:rsidRDefault="00441C1F">
      <w:pPr>
        <w:widowControl/>
        <w:overflowPunct w:val="0"/>
        <w:rPr>
          <w:sz w:val="24"/>
          <w:szCs w:val="24"/>
        </w:rPr>
      </w:pPr>
    </w:p>
    <w:sectPr w:rsidR="00441C1F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;MS Gothic">
    <w:panose1 w:val="020B0604020202020204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F1AB4"/>
    <w:multiLevelType w:val="multilevel"/>
    <w:tmpl w:val="452AB7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467604A"/>
    <w:multiLevelType w:val="multilevel"/>
    <w:tmpl w:val="8C3C6DB0"/>
    <w:lvl w:ilvl="0">
      <w:start w:val="1"/>
      <w:numFmt w:val="bullet"/>
      <w:pStyle w:val="4"/>
      <w:lvlText w:val=""/>
      <w:lvlJc w:val="left"/>
      <w:pPr>
        <w:tabs>
          <w:tab w:val="num" w:pos="0"/>
        </w:tabs>
        <w:ind w:left="0" w:firstLine="708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2148A9"/>
    <w:multiLevelType w:val="multilevel"/>
    <w:tmpl w:val="759C8514"/>
    <w:lvl w:ilvl="0">
      <w:start w:val="1"/>
      <w:numFmt w:val="bullet"/>
      <w:pStyle w:val="1"/>
      <w:lvlText w:val="-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543FF"/>
    <w:multiLevelType w:val="multilevel"/>
    <w:tmpl w:val="AE0A4F08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1572078">
    <w:abstractNumId w:val="3"/>
  </w:num>
  <w:num w:numId="2" w16cid:durableId="1637831783">
    <w:abstractNumId w:val="1"/>
  </w:num>
  <w:num w:numId="3" w16cid:durableId="497768687">
    <w:abstractNumId w:val="2"/>
  </w:num>
  <w:num w:numId="4" w16cid:durableId="58184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NotTrackMoves/>
  <w:defaultTabStop w:val="720"/>
  <w:autoHyphenation/>
  <w:hyphenationZone w:val="0"/>
  <w:characterSpacingControl w:val="doNotCompress"/>
  <w:compat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C1F"/>
    <w:rsid w:val="00225B3D"/>
    <w:rsid w:val="00384E16"/>
    <w:rsid w:val="00441C1F"/>
    <w:rsid w:val="008E0C9C"/>
    <w:rsid w:val="00954698"/>
    <w:rsid w:val="009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3E51E"/>
  <w15:docId w15:val="{FDEFF2A8-FE70-C342-A28A-6C9663F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10">
    <w:name w:val="heading 1"/>
    <w:basedOn w:val="a0"/>
    <w:next w:val="a0"/>
    <w:uiPriority w:val="9"/>
    <w:qFormat/>
    <w:pPr>
      <w:keepNext/>
      <w:numPr>
        <w:numId w:val="1"/>
      </w:numPr>
      <w:spacing w:before="120"/>
      <w:outlineLvl w:val="0"/>
    </w:pPr>
    <w:rPr>
      <w:rFonts w:ascii="Arial" w:hAnsi="Arial" w:cs="Arial"/>
      <w:sz w:val="24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color w:val="000000"/>
      <w:sz w:val="24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numId w:val="2"/>
      </w:numPr>
      <w:outlineLvl w:val="3"/>
    </w:pPr>
    <w:rPr>
      <w:rFonts w:ascii="Arial" w:hAnsi="Arial" w:cs="Arial"/>
      <w:b/>
      <w:i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Times New Roman" w:eastAsia="Times New Roman" w:hAnsi="Times New Roman" w:cs="Times New Roman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b w:val="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styleId="a4">
    <w:name w:val="Strong"/>
    <w:qFormat/>
    <w:rPr>
      <w:b/>
      <w:bCs/>
    </w:rPr>
  </w:style>
  <w:style w:type="character" w:customStyle="1" w:styleId="a5">
    <w:name w:val="Нижний колонтитул Знак"/>
    <w:qFormat/>
    <w:rPr>
      <w:lang w:val="ru-RU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8">
    <w:name w:val="Body Text"/>
    <w:basedOn w:val="a0"/>
    <w:pPr>
      <w:shd w:val="clear" w:color="auto" w:fill="FFFFFF"/>
      <w:spacing w:before="120"/>
    </w:pPr>
    <w:rPr>
      <w:rFonts w:ascii="Arial" w:hAnsi="Arial" w:cs="Arial"/>
      <w:color w:val="000000"/>
      <w:sz w:val="24"/>
    </w:r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Arial Unicode MS"/>
    </w:rPr>
  </w:style>
  <w:style w:type="paragraph" w:styleId="ab">
    <w:name w:val="Body Text Indent"/>
    <w:basedOn w:val="a0"/>
    <w:pPr>
      <w:ind w:left="360"/>
    </w:pPr>
  </w:style>
  <w:style w:type="paragraph" w:customStyle="1" w:styleId="1">
    <w:name w:val="Список 1"/>
    <w:basedOn w:val="a8"/>
    <w:qFormat/>
    <w:pPr>
      <w:widowControl/>
      <w:numPr>
        <w:numId w:val="3"/>
      </w:numPr>
      <w:shd w:val="clear" w:color="auto" w:fill="auto"/>
      <w:autoSpaceDE/>
      <w:spacing w:before="0" w:line="300" w:lineRule="auto"/>
    </w:pPr>
    <w:rPr>
      <w:rFonts w:ascii="Times New Roman" w:hAnsi="Times New Roman" w:cs="Times New Roman"/>
      <w:iCs/>
      <w:kern w:val="2"/>
      <w:sz w:val="28"/>
      <w:lang w:val="en-US"/>
    </w:rPr>
  </w:style>
  <w:style w:type="paragraph" w:customStyle="1" w:styleId="a">
    <w:name w:val="СТП Раздел"/>
    <w:basedOn w:val="2"/>
    <w:qFormat/>
    <w:pPr>
      <w:widowControl/>
      <w:numPr>
        <w:ilvl w:val="0"/>
        <w:numId w:val="4"/>
      </w:numPr>
      <w:autoSpaceDE/>
      <w:spacing w:before="240" w:after="60" w:line="360" w:lineRule="auto"/>
      <w:outlineLvl w:val="9"/>
    </w:pPr>
    <w:rPr>
      <w:rFonts w:ascii="Times New Roman" w:hAnsi="Times New Roman" w:cs="Times New Roman"/>
      <w:b/>
      <w:sz w:val="32"/>
    </w:rPr>
  </w:style>
  <w:style w:type="paragraph" w:customStyle="1" w:styleId="ac">
    <w:name w:val="Обычный текст"/>
    <w:basedOn w:val="a0"/>
    <w:qFormat/>
    <w:pPr>
      <w:widowControl/>
      <w:autoSpaceDE/>
      <w:spacing w:before="120" w:line="360" w:lineRule="auto"/>
      <w:ind w:left="709" w:right="311"/>
      <w:jc w:val="both"/>
    </w:pPr>
    <w:rPr>
      <w:iCs/>
      <w:kern w:val="2"/>
      <w:sz w:val="28"/>
      <w:szCs w:val="24"/>
    </w:rPr>
  </w:style>
  <w:style w:type="paragraph" w:styleId="ad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0"/>
    <w:pPr>
      <w:widowControl/>
      <w:tabs>
        <w:tab w:val="center" w:pos="4677"/>
        <w:tab w:val="right" w:pos="9355"/>
      </w:tabs>
      <w:overflowPunct w:val="0"/>
    </w:p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1">
    <w:name w:val="Знак Знак1"/>
    <w:basedOn w:val="a0"/>
    <w:qFormat/>
    <w:pPr>
      <w:keepLines/>
      <w:widowControl/>
      <w:autoSpaceDE/>
      <w:spacing w:after="160" w:line="240" w:lineRule="exact"/>
    </w:pPr>
    <w:rPr>
      <w:rFonts w:ascii="Verdana" w:eastAsia="MS Mincho;MS Gothic" w:hAnsi="Verdana" w:cs="Franklin Gothic Book"/>
      <w:lang w:val="en-US"/>
    </w:rPr>
  </w:style>
  <w:style w:type="paragraph" w:customStyle="1" w:styleId="af1">
    <w:name w:val="Заголовок таблицы"/>
    <w:basedOn w:val="3"/>
    <w:qFormat/>
    <w:pPr>
      <w:widowControl/>
      <w:numPr>
        <w:ilvl w:val="0"/>
        <w:numId w:val="0"/>
      </w:numPr>
      <w:autoSpaceDE/>
      <w:jc w:val="left"/>
      <w:outlineLvl w:val="9"/>
    </w:pPr>
    <w:rPr>
      <w:rFonts w:cs="Arial"/>
      <w:bCs/>
      <w:color w:val="000000"/>
      <w:szCs w:val="26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0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0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table" w:styleId="af2">
    <w:name w:val="Table Grid"/>
    <w:basedOn w:val="a2"/>
    <w:rsid w:val="0095469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выполнение работ по теме:</dc:title>
  <dc:subject/>
  <dc:creator>Markelov</dc:creator>
  <cp:keywords/>
  <dc:description/>
  <cp:lastModifiedBy>Евгений Бабкин</cp:lastModifiedBy>
  <cp:revision>28</cp:revision>
  <cp:lastPrinted>2018-12-26T12:28:00Z</cp:lastPrinted>
  <dcterms:created xsi:type="dcterms:W3CDTF">2025-03-04T22:18:00Z</dcterms:created>
  <dcterms:modified xsi:type="dcterms:W3CDTF">2026-06-14T09:08:00Z</dcterms:modified>
  <dc:language>ru-RU</dc:language>
</cp:coreProperties>
</file>